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155E0A">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68BB994" w:rsidR="00F92268" w:rsidRPr="00FF66BF" w:rsidRDefault="00F224AC" w:rsidP="00155E0A">
            <w:pPr>
              <w:pStyle w:val="RefTableData"/>
            </w:pPr>
            <w:r>
              <w:t>2019-A</w:t>
            </w:r>
          </w:p>
        </w:tc>
      </w:tr>
    </w:tbl>
    <w:p w14:paraId="74FBA5B4" w14:textId="77777777" w:rsidR="00051356" w:rsidRDefault="00051356" w:rsidP="00A672B3">
      <w:pPr>
        <w:pStyle w:val="BodyText"/>
        <w:rPr>
          <w:b/>
          <w:bCs/>
          <w:sz w:val="16"/>
          <w:szCs w:val="16"/>
        </w:rPr>
        <w:sectPr w:rsidR="00051356" w:rsidSect="007E1C99">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DB040D6" w:rsidR="004B15BB" w:rsidRPr="00BD1CC1" w:rsidRDefault="00F224AC" w:rsidP="00EC505B">
      <w:pPr>
        <w:pStyle w:val="Heading1"/>
      </w:pPr>
      <w:r w:rsidRPr="00F224AC">
        <w:t>Specialty Guideline Management</w:t>
      </w:r>
      <w:r w:rsidR="008C54D9" w:rsidRPr="00BD1CC1">
        <w:br/>
      </w:r>
      <w:proofErr w:type="spellStart"/>
      <w:r w:rsidRPr="00F224AC">
        <w:t>Otrexup</w:t>
      </w:r>
      <w:proofErr w:type="spellEnd"/>
    </w:p>
    <w:p w14:paraId="78861C92" w14:textId="1BCD94BC" w:rsidR="00203468" w:rsidRPr="00BD1CC1" w:rsidRDefault="00C64534" w:rsidP="008E0F0D">
      <w:pPr>
        <w:pStyle w:val="Heading2"/>
      </w:pPr>
      <w:r w:rsidRPr="00BD1CC1">
        <w:t xml:space="preserve">Products Referenced by this </w:t>
      </w:r>
      <w:r w:rsidR="00501602" w:rsidRPr="00BD1CC1">
        <w:t>Document</w:t>
      </w:r>
    </w:p>
    <w:p w14:paraId="5455152B" w14:textId="2D7FEB50"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36729">
        <w:t>Over-the-counter (</w:t>
      </w:r>
      <w:r w:rsidRPr="00BD1CC1">
        <w:t>OTC</w:t>
      </w:r>
      <w:r w:rsidR="00C36729">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100"/>
        <w:gridCol w:w="5670"/>
      </w:tblGrid>
      <w:tr w:rsidR="00892538" w14:paraId="6796C3FD" w14:textId="77777777" w:rsidTr="008A1F2A">
        <w:trPr>
          <w:cantSplit/>
          <w:trHeight w:val="288"/>
          <w:tblHeader/>
        </w:trPr>
        <w:tc>
          <w:tcPr>
            <w:tcW w:w="5100" w:type="dxa"/>
            <w:vAlign w:val="center"/>
            <w:hideMark/>
          </w:tcPr>
          <w:p w14:paraId="48C92190" w14:textId="77777777" w:rsidR="00892538" w:rsidRDefault="00892538">
            <w:pPr>
              <w:pStyle w:val="TableHeader"/>
            </w:pPr>
            <w:r>
              <w:t>Brand Name</w:t>
            </w:r>
          </w:p>
        </w:tc>
        <w:tc>
          <w:tcPr>
            <w:tcW w:w="5670" w:type="dxa"/>
            <w:hideMark/>
          </w:tcPr>
          <w:p w14:paraId="671963F5" w14:textId="3223364E" w:rsidR="00892538" w:rsidRDefault="00892538" w:rsidP="008A1F2A">
            <w:pPr>
              <w:pStyle w:val="TableHeader"/>
              <w:tabs>
                <w:tab w:val="right" w:pos="6964"/>
              </w:tabs>
            </w:pPr>
            <w:r>
              <w:t>Generic Name</w:t>
            </w:r>
            <w:r>
              <w:tab/>
            </w:r>
          </w:p>
        </w:tc>
      </w:tr>
      <w:tr w:rsidR="00892538" w14:paraId="453C41AB" w14:textId="77777777" w:rsidTr="008A1F2A">
        <w:trPr>
          <w:cantSplit/>
        </w:trPr>
        <w:tc>
          <w:tcPr>
            <w:tcW w:w="5100" w:type="dxa"/>
            <w:hideMark/>
          </w:tcPr>
          <w:p w14:paraId="6A704687" w14:textId="416167AE" w:rsidR="00892538" w:rsidRDefault="00892538">
            <w:pPr>
              <w:pStyle w:val="TableDataUnpadded"/>
            </w:pPr>
            <w:proofErr w:type="spellStart"/>
            <w:r w:rsidRPr="00F224AC">
              <w:t>Otrexup</w:t>
            </w:r>
            <w:proofErr w:type="spellEnd"/>
          </w:p>
        </w:tc>
        <w:tc>
          <w:tcPr>
            <w:tcW w:w="5670" w:type="dxa"/>
            <w:hideMark/>
          </w:tcPr>
          <w:p w14:paraId="704E995C" w14:textId="6809CC57" w:rsidR="00892538" w:rsidRDefault="00892538">
            <w:pPr>
              <w:pStyle w:val="TableDataUnpadded"/>
            </w:pPr>
            <w:r>
              <w:t>m</w:t>
            </w:r>
            <w:r w:rsidRPr="00F224AC">
              <w:t>ethotrexate</w:t>
            </w:r>
            <w:r>
              <w:t xml:space="preserve"> </w:t>
            </w:r>
          </w:p>
        </w:tc>
      </w:tr>
    </w:tbl>
    <w:p w14:paraId="14CE6108" w14:textId="38CFAE90" w:rsidR="00FC1AAD" w:rsidRPr="00F224AC" w:rsidRDefault="00ED052F" w:rsidP="00AA2A94">
      <w:pPr>
        <w:pStyle w:val="Heading2"/>
        <w:tabs>
          <w:tab w:val="left" w:pos="9540"/>
        </w:tabs>
      </w:pPr>
      <w:r>
        <w:t>Indications</w:t>
      </w:r>
    </w:p>
    <w:p w14:paraId="0AE47964" w14:textId="4C41B910" w:rsidR="00F224AC" w:rsidRPr="00F224AC" w:rsidRDefault="00F224AC" w:rsidP="00F224AC">
      <w:pPr>
        <w:pStyle w:val="BodyText"/>
      </w:pPr>
      <w:r w:rsidRPr="00F224AC">
        <w:t>The indications below including FDA-approved indications and compendial uses are considered a covered benefit provided that all the approval criteria are met and the member has no exclusions to the prescribed therapy.</w:t>
      </w:r>
    </w:p>
    <w:p w14:paraId="134B5687" w14:textId="7892A71F" w:rsidR="00ED052F" w:rsidRDefault="00ED052F" w:rsidP="00ED052F">
      <w:pPr>
        <w:pStyle w:val="Heading3"/>
        <w:keepNext w:val="0"/>
        <w:rPr>
          <w:vertAlign w:val="superscript"/>
        </w:rPr>
      </w:pPr>
      <w:r w:rsidRPr="00BD1CC1">
        <w:t>FDA-approved Indication</w:t>
      </w:r>
      <w:r w:rsidR="00F224AC" w:rsidRPr="00F224AC">
        <w:t>s</w:t>
      </w:r>
      <w:r w:rsidR="00F224AC" w:rsidRPr="00F224AC">
        <w:rPr>
          <w:vertAlign w:val="superscript"/>
        </w:rPr>
        <w:t>1</w:t>
      </w:r>
    </w:p>
    <w:p w14:paraId="6F3DF415" w14:textId="3E318DA9" w:rsidR="00F224AC" w:rsidRPr="00F224AC" w:rsidRDefault="00F224AC" w:rsidP="00F224AC">
      <w:pPr>
        <w:pStyle w:val="Heading4"/>
        <w:rPr>
          <w:lang w:val="en-IN"/>
        </w:rPr>
      </w:pPr>
      <w:r w:rsidRPr="00F224AC">
        <w:t>Rheumatoid Arthritis (RA) including Polyarticular Juvenile Idiopathic Arthritis (</w:t>
      </w:r>
      <w:proofErr w:type="spellStart"/>
      <w:r w:rsidRPr="00F224AC">
        <w:t>pJIA</w:t>
      </w:r>
      <w:proofErr w:type="spellEnd"/>
      <w:r w:rsidRPr="00F224AC">
        <w:t>)</w:t>
      </w:r>
    </w:p>
    <w:p w14:paraId="36C9B4C7" w14:textId="73C49991" w:rsidR="00F224AC" w:rsidRPr="00F224AC" w:rsidRDefault="00F224AC" w:rsidP="00E16414">
      <w:pPr>
        <w:pStyle w:val="BodyText"/>
      </w:pPr>
      <w:proofErr w:type="spellStart"/>
      <w:r w:rsidRPr="00F224AC">
        <w:t>Otrexup</w:t>
      </w:r>
      <w:proofErr w:type="spellEnd"/>
      <w:r w:rsidRPr="00F224AC">
        <w:t xml:space="preserve"> is </w:t>
      </w:r>
      <w:r w:rsidRPr="00E16414">
        <w:t>indicated</w:t>
      </w:r>
      <w:r w:rsidRPr="00F224AC">
        <w:t xml:space="preserve"> in the management of selected adults with severe, active rheumatoid arthritis (RA) or children with active polyarticular juvenile idiopathic arthritis (</w:t>
      </w:r>
      <w:proofErr w:type="spellStart"/>
      <w:r w:rsidRPr="00F224AC">
        <w:t>pJIA</w:t>
      </w:r>
      <w:proofErr w:type="spellEnd"/>
      <w:r w:rsidRPr="00F224AC">
        <w:t>), who have had an insufficient therapeutic response to, or are intolerant of, an adequate trial of first-line therapy including full dose non-steroidal anti-inflammatory agents (NSAIDs).</w:t>
      </w:r>
    </w:p>
    <w:p w14:paraId="7329068A" w14:textId="5DCBCEBE" w:rsidR="00F224AC" w:rsidRPr="00F224AC" w:rsidRDefault="00F224AC" w:rsidP="00F224AC">
      <w:pPr>
        <w:pStyle w:val="Heading4"/>
        <w:rPr>
          <w:lang w:val="en-IN"/>
        </w:rPr>
      </w:pPr>
      <w:r w:rsidRPr="00F224AC">
        <w:t>Psoriasis</w:t>
      </w:r>
    </w:p>
    <w:p w14:paraId="305C6B28" w14:textId="310E0C4F" w:rsidR="00AB2C73" w:rsidRPr="00AB2C73" w:rsidRDefault="00F224AC" w:rsidP="00AB2C73">
      <w:pPr>
        <w:pStyle w:val="BodyText"/>
      </w:pPr>
      <w:proofErr w:type="spellStart"/>
      <w:r w:rsidRPr="00F224AC">
        <w:t>Otrexup</w:t>
      </w:r>
      <w:proofErr w:type="spellEnd"/>
      <w:r w:rsidRPr="00F224AC">
        <w:t xml:space="preserve"> is indicated in adults for the symptomatic control of severe, recalcitrant, disabling psoriasis that is not adequately responsive to other forms of therapy, but only when the diagnosis has been established, as by biopsy and/or </w:t>
      </w:r>
      <w:r w:rsidRPr="00E16414">
        <w:t>after</w:t>
      </w:r>
      <w:r w:rsidRPr="00F224AC">
        <w:t xml:space="preserve"> dermatologic consultation. It is important to ensure that a psoriasis “flare” is not due to an undiagnosed concomitant disease affecting immune responses.</w:t>
      </w:r>
    </w:p>
    <w:p w14:paraId="1D8AE2C1" w14:textId="44905524" w:rsidR="00D924F7" w:rsidRDefault="00F224AC" w:rsidP="00D924F7">
      <w:pPr>
        <w:pStyle w:val="Heading5"/>
      </w:pPr>
      <w:r w:rsidRPr="00F224AC">
        <w:lastRenderedPageBreak/>
        <w:t>Limitations of use</w:t>
      </w:r>
    </w:p>
    <w:p w14:paraId="7BB94D01" w14:textId="2358B7AB" w:rsidR="00F224AC" w:rsidRDefault="00F224AC" w:rsidP="00D924F7">
      <w:pPr>
        <w:pStyle w:val="BodyText"/>
      </w:pPr>
      <w:proofErr w:type="spellStart"/>
      <w:r w:rsidRPr="00F224AC">
        <w:t>Otrexup</w:t>
      </w:r>
      <w:proofErr w:type="spellEnd"/>
      <w:r w:rsidRPr="00F224AC">
        <w:t xml:space="preserve"> is not indicated for the </w:t>
      </w:r>
      <w:r w:rsidRPr="00D924F7">
        <w:t>treatment of neoplastic diseases.</w:t>
      </w:r>
    </w:p>
    <w:p w14:paraId="740BA814" w14:textId="1D7EDBED" w:rsidR="00AB2C73" w:rsidRPr="00CB5BAA" w:rsidRDefault="00AB2C73" w:rsidP="00AB2C73">
      <w:pPr>
        <w:pStyle w:val="Heading3"/>
        <w:rPr>
          <w:vertAlign w:val="superscript"/>
        </w:rPr>
      </w:pPr>
      <w:r>
        <w:t>Compendial Use</w:t>
      </w:r>
    </w:p>
    <w:p w14:paraId="7153BE72" w14:textId="235225E1" w:rsidR="00AB2C73" w:rsidRPr="00AB2C73" w:rsidRDefault="00AB2C73" w:rsidP="00AB2C73">
      <w:pPr>
        <w:pStyle w:val="BodyText"/>
      </w:pPr>
      <w:r w:rsidRPr="00CB5BAA">
        <w:t>Microscopic polyangiitis</w:t>
      </w:r>
      <w:r w:rsidR="00007027" w:rsidRPr="00CB5BAA">
        <w:rPr>
          <w:vertAlign w:val="superscript"/>
        </w:rPr>
        <w:t>6</w:t>
      </w:r>
    </w:p>
    <w:p w14:paraId="0ECC08DE" w14:textId="4BC01AF4" w:rsidR="00F224AC" w:rsidRPr="00D924F7" w:rsidRDefault="00F224AC" w:rsidP="00D924F7">
      <w:pPr>
        <w:pStyle w:val="BodyText"/>
      </w:pPr>
      <w:r w:rsidRPr="00D924F7">
        <w:t>All other indications are considered experimental/investigational and not medically necessary.</w:t>
      </w:r>
    </w:p>
    <w:p w14:paraId="36381B6D" w14:textId="1268A1FB" w:rsidR="000D2496" w:rsidRDefault="000D2496" w:rsidP="00F224AC">
      <w:pPr>
        <w:pStyle w:val="Heading2"/>
        <w:tabs>
          <w:tab w:val="left" w:pos="9240"/>
        </w:tabs>
      </w:pPr>
      <w:r w:rsidRPr="00BD1CC1">
        <w:t>Documentation</w:t>
      </w:r>
    </w:p>
    <w:p w14:paraId="3BD59F0E" w14:textId="1CAB64B9" w:rsidR="00F224AC" w:rsidRPr="00F224AC" w:rsidRDefault="00F224AC" w:rsidP="00F224AC">
      <w:pPr>
        <w:pStyle w:val="BodyText"/>
      </w:pPr>
      <w:r w:rsidRPr="00F224AC">
        <w:t>Submission of the following information is necessary to initiate the prior authorization review:</w:t>
      </w:r>
    </w:p>
    <w:p w14:paraId="0D43B6FA" w14:textId="36B5617D" w:rsidR="00F224AC" w:rsidRPr="00634FFE" w:rsidRDefault="00F224AC" w:rsidP="00CB5BAA">
      <w:pPr>
        <w:pStyle w:val="ListParagraph"/>
      </w:pPr>
      <w:r w:rsidRPr="00634FFE">
        <w:t>Chart notes, medical record documentation, or claims history supporting previous use of generic oral methotrexate and inadequate response or intolerance to therapy.</w:t>
      </w:r>
    </w:p>
    <w:p w14:paraId="79CF54F5" w14:textId="719ABF82" w:rsidR="00F224AC" w:rsidRPr="00634FFE" w:rsidRDefault="00F224AC" w:rsidP="00CB5BAA">
      <w:pPr>
        <w:pStyle w:val="ListParagraph"/>
      </w:pPr>
      <w:r w:rsidRPr="00634FFE">
        <w:t>Chart notes or medical record documentation of member’s inability to prepare and administer generic injectable methotrexate.</w:t>
      </w:r>
    </w:p>
    <w:p w14:paraId="50A38FBA" w14:textId="5297F402" w:rsidR="00FE0C63" w:rsidRDefault="00685107" w:rsidP="00E050E1">
      <w:pPr>
        <w:pStyle w:val="Heading2"/>
        <w:rPr>
          <w:vertAlign w:val="superscript"/>
        </w:rPr>
      </w:pPr>
      <w:r>
        <w:t>Coverage Criteri</w:t>
      </w:r>
      <w:r w:rsidR="00F224AC">
        <w:t>a</w:t>
      </w:r>
      <w:r w:rsidR="00F224AC" w:rsidRPr="00F224AC">
        <w:rPr>
          <w:vertAlign w:val="superscript"/>
        </w:rPr>
        <w:t>2-</w:t>
      </w:r>
      <w:r w:rsidR="00007027">
        <w:rPr>
          <w:vertAlign w:val="superscript"/>
        </w:rPr>
        <w:t>6</w:t>
      </w:r>
    </w:p>
    <w:p w14:paraId="193B4D30" w14:textId="02A104F7" w:rsidR="00F224AC" w:rsidRPr="00F224AC" w:rsidRDefault="00F224AC" w:rsidP="00A35C5C">
      <w:pPr>
        <w:pStyle w:val="BodyText"/>
      </w:pPr>
      <w:r w:rsidRPr="00F224AC">
        <w:t>Authorization of 12 months may be granted for treatment of rheumatoid arthritis (RA), polyarticular juvenile idiopathic arthritis (</w:t>
      </w:r>
      <w:proofErr w:type="spellStart"/>
      <w:r w:rsidRPr="00F224AC">
        <w:t>pJIA</w:t>
      </w:r>
      <w:proofErr w:type="spellEnd"/>
      <w:r w:rsidRPr="00F224AC">
        <w:t>), psoriasis</w:t>
      </w:r>
      <w:r w:rsidR="004D7124">
        <w:t xml:space="preserve">, </w:t>
      </w:r>
      <w:r w:rsidR="004D7124" w:rsidRPr="00CB5BAA">
        <w:t>or microscopic polyangiitis</w:t>
      </w:r>
      <w:r w:rsidRPr="00CB5BAA">
        <w:t xml:space="preserve"> when</w:t>
      </w:r>
      <w:r w:rsidRPr="00F224AC">
        <w:t xml:space="preserve"> BOTH of the following criteria are met:</w:t>
      </w:r>
    </w:p>
    <w:p w14:paraId="130CE52F" w14:textId="5FEE4B0C" w:rsidR="00F224AC" w:rsidRPr="00634FFE" w:rsidRDefault="00F224AC" w:rsidP="00CB5BAA">
      <w:pPr>
        <w:pStyle w:val="ListParagraph"/>
      </w:pPr>
      <w:r w:rsidRPr="00634FFE">
        <w:t>Member has had an inadequate response or intolerance to generic oral methotrexate.</w:t>
      </w:r>
    </w:p>
    <w:p w14:paraId="70C0FF22" w14:textId="53C1E220" w:rsidR="00F224AC" w:rsidRPr="00634FFE" w:rsidRDefault="00F224AC" w:rsidP="00CB5BAA">
      <w:pPr>
        <w:pStyle w:val="ListParagraph"/>
      </w:pPr>
      <w:r w:rsidRPr="00634FFE">
        <w:t>Member has an inability to prepare and administer generic injectable methotrexate.</w:t>
      </w:r>
    </w:p>
    <w:p w14:paraId="3A643EC3" w14:textId="531AE197" w:rsidR="00A501AC" w:rsidRDefault="00A501AC" w:rsidP="00A501AC">
      <w:pPr>
        <w:pStyle w:val="Heading2"/>
      </w:pPr>
      <w:r w:rsidRPr="00BD1CC1">
        <w:t>Continuation of Therapy</w:t>
      </w:r>
    </w:p>
    <w:p w14:paraId="327CAE96" w14:textId="593ED6C2" w:rsidR="00F224AC" w:rsidRPr="00F224AC" w:rsidRDefault="00F224AC" w:rsidP="00A35C5C">
      <w:pPr>
        <w:pStyle w:val="BodyText"/>
      </w:pPr>
      <w:r w:rsidRPr="00F224AC">
        <w:t xml:space="preserve">Authorization of 12 months may be granted for all members (including new members) who meet </w:t>
      </w:r>
      <w:r w:rsidR="00892538">
        <w:t>ALL</w:t>
      </w:r>
      <w:r w:rsidRPr="00F224AC">
        <w:t xml:space="preserve"> requirements in the coverage criteria</w:t>
      </w:r>
      <w:r w:rsidR="00892538">
        <w:t xml:space="preserve"> </w:t>
      </w:r>
      <w:r w:rsidRPr="00F224AC">
        <w:t xml:space="preserve">and achieve or maintain a positive clinical response after at least 3 months of therapy with </w:t>
      </w:r>
      <w:proofErr w:type="spellStart"/>
      <w:r w:rsidRPr="00F224AC">
        <w:t>Otrexup</w:t>
      </w:r>
      <w:proofErr w:type="spellEnd"/>
      <w:r w:rsidRPr="00F224AC">
        <w:t xml:space="preserve"> as evidenced by low disease activity or improvement in signs and symptoms of the condition.</w:t>
      </w:r>
    </w:p>
    <w:p w14:paraId="10DA4309" w14:textId="494D3BAA" w:rsidR="00FF66BF"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085C28D1" w14:textId="45980A2F" w:rsidR="00F224AC" w:rsidRPr="00495919" w:rsidRDefault="00F224AC" w:rsidP="00495919">
      <w:pPr>
        <w:pStyle w:val="ReferenceOrdered"/>
      </w:pPr>
      <w:proofErr w:type="spellStart"/>
      <w:r w:rsidRPr="00495919">
        <w:t>Otrexup</w:t>
      </w:r>
      <w:proofErr w:type="spellEnd"/>
      <w:r w:rsidRPr="00495919">
        <w:t xml:space="preserve"> [package insert]. Ewing, NJ: Antares Pharma, Inc.; December 2019.</w:t>
      </w:r>
    </w:p>
    <w:p w14:paraId="52968276" w14:textId="74CB777A" w:rsidR="00F224AC" w:rsidRPr="00495919" w:rsidRDefault="00F224AC" w:rsidP="00495919">
      <w:pPr>
        <w:pStyle w:val="ReferenceOrdered"/>
      </w:pPr>
      <w:r w:rsidRPr="00495919">
        <w:t xml:space="preserve">Fraenkel L, </w:t>
      </w:r>
      <w:proofErr w:type="spellStart"/>
      <w:r w:rsidRPr="00495919">
        <w:t>Bathon</w:t>
      </w:r>
      <w:proofErr w:type="spellEnd"/>
      <w:r w:rsidRPr="00495919">
        <w:t xml:space="preserve"> JM, England BR, et al. 2021 American College of Rheumatology Guideline for the Treatment of Rheumatoid Arthritis. </w:t>
      </w:r>
      <w:hyperlink r:id="rId15" w:tgtFrame="_blank" w:history="1">
        <w:r w:rsidRPr="008A1F2A">
          <w:rPr>
            <w:rStyle w:val="Hyperlink"/>
            <w:color w:val="auto"/>
            <w:u w:val="none"/>
          </w:rPr>
          <w:t>Arthritis Care Res (Hoboken)</w:t>
        </w:r>
        <w:r w:rsidRPr="00155E0A">
          <w:rPr>
            <w:rStyle w:val="Hyperlink"/>
            <w:i/>
            <w:iCs/>
            <w:color w:val="auto"/>
            <w:u w:val="none"/>
          </w:rPr>
          <w:t>.</w:t>
        </w:r>
      </w:hyperlink>
      <w:r w:rsidRPr="00495919">
        <w:t xml:space="preserve"> 2021;73(7):924-939.</w:t>
      </w:r>
    </w:p>
    <w:p w14:paraId="3095E750" w14:textId="77777777" w:rsidR="00155E0A" w:rsidRDefault="00F224AC" w:rsidP="00495919">
      <w:pPr>
        <w:pStyle w:val="ReferenceOrdered"/>
      </w:pPr>
      <w:r w:rsidRPr="00AA3C75">
        <w:rPr>
          <w:lang w:val="sv-SE"/>
        </w:rPr>
        <w:lastRenderedPageBreak/>
        <w:t xml:space="preserve">Smolen JS, Landewé R, Billsma J, et al. </w:t>
      </w:r>
      <w:r w:rsidRPr="00495919">
        <w:t>EULAR recommendations for the management of rheumatoid arthritis with synthetic and biological disease-modifying antirheumatic drugs: 2019 update.</w:t>
      </w:r>
      <w:r w:rsidRPr="00892538">
        <w:t xml:space="preserve"> </w:t>
      </w:r>
      <w:r w:rsidRPr="008A1F2A">
        <w:t>Ann Rheum Dis</w:t>
      </w:r>
      <w:r w:rsidRPr="00155E0A">
        <w:rPr>
          <w:i/>
          <w:iCs/>
        </w:rPr>
        <w:t>.</w:t>
      </w:r>
      <w:r w:rsidRPr="00495919">
        <w:t xml:space="preserve"> 2020;79:685-699.</w:t>
      </w:r>
    </w:p>
    <w:p w14:paraId="731F39B5" w14:textId="4A290720" w:rsidR="00F224AC" w:rsidRPr="00495919" w:rsidRDefault="00F224AC" w:rsidP="00495919">
      <w:pPr>
        <w:pStyle w:val="ReferenceOrdered"/>
      </w:pPr>
      <w:proofErr w:type="spellStart"/>
      <w:r w:rsidRPr="00495919">
        <w:t>Ringold</w:t>
      </w:r>
      <w:proofErr w:type="spellEnd"/>
      <w:r w:rsidRPr="00495919">
        <w:t xml:space="preserve"> S, Angeles-Han S, </w:t>
      </w:r>
      <w:proofErr w:type="spellStart"/>
      <w:r w:rsidRPr="00495919">
        <w:t>Beukelman</w:t>
      </w:r>
      <w:proofErr w:type="spellEnd"/>
      <w:r w:rsidRPr="00495919">
        <w:t xml:space="preserve"> T, et al. 2019 American College of Rheumatology recommendations for the treatment of juvenile idiopathic arthritis: Therapeutic approaches for non-systemic polyarthritis, </w:t>
      </w:r>
      <w:proofErr w:type="spellStart"/>
      <w:r w:rsidRPr="00495919">
        <w:t>sacroilitis</w:t>
      </w:r>
      <w:proofErr w:type="spellEnd"/>
      <w:r w:rsidRPr="00495919">
        <w:t xml:space="preserve">, and enthesitis. </w:t>
      </w:r>
      <w:r w:rsidRPr="008A1F2A">
        <w:t>Arthritis Care Res</w:t>
      </w:r>
      <w:r w:rsidRPr="00155E0A">
        <w:rPr>
          <w:i/>
          <w:iCs/>
        </w:rPr>
        <w:t>.</w:t>
      </w:r>
      <w:r w:rsidRPr="00495919">
        <w:t xml:space="preserve"> 2019;71(6):717-734.</w:t>
      </w:r>
    </w:p>
    <w:p w14:paraId="3388A5BB" w14:textId="3300B0E0" w:rsidR="00DE1431" w:rsidRPr="00495919" w:rsidRDefault="00DE1431" w:rsidP="00495919">
      <w:pPr>
        <w:pStyle w:val="ReferenceOrdered"/>
      </w:pPr>
      <w:proofErr w:type="spellStart"/>
      <w:r w:rsidRPr="00DE1431">
        <w:t>Menter</w:t>
      </w:r>
      <w:proofErr w:type="spellEnd"/>
      <w:r w:rsidRPr="00DE1431">
        <w:t xml:space="preserve"> A, Gelfand JM, Connor C, </w:t>
      </w:r>
      <w:r>
        <w:t>et al</w:t>
      </w:r>
      <w:r w:rsidRPr="00DE1431">
        <w:t xml:space="preserve">. Joint American Academy of Dermatology-National Psoriasis Foundation guidelines of care for the management of psoriasis with systemic nonbiologic therapies. J Am </w:t>
      </w:r>
      <w:proofErr w:type="spellStart"/>
      <w:r w:rsidRPr="00DE1431">
        <w:t>Acad</w:t>
      </w:r>
      <w:proofErr w:type="spellEnd"/>
      <w:r w:rsidRPr="00DE1431">
        <w:t xml:space="preserve"> Dermatol. 2020;82(6):1445-1486.</w:t>
      </w:r>
    </w:p>
    <w:p w14:paraId="48F6A12E" w14:textId="3C8E3E71" w:rsidR="007C47A1" w:rsidRPr="00536BA5" w:rsidRDefault="00B2688D" w:rsidP="00495919">
      <w:pPr>
        <w:pStyle w:val="ReferenceOrdered"/>
      </w:pPr>
      <w:r w:rsidRPr="00B2688D">
        <w:rPr>
          <w:rFonts w:cs="Times New Roman"/>
          <w:szCs w:val="20"/>
        </w:rPr>
        <w:t>IBM Micromedex® DRUGDEX® (electronic version). IBM Watson Health, Greenwood Village, Colorado, USA. Available at:</w:t>
      </w:r>
      <w:r>
        <w:rPr>
          <w:rFonts w:cs="Times New Roman"/>
          <w:szCs w:val="20"/>
        </w:rPr>
        <w:t xml:space="preserve"> https://www.micromedexsolutions.com/</w:t>
      </w:r>
      <w:r w:rsidRPr="00B2688D">
        <w:rPr>
          <w:rFonts w:cs="Times New Roman"/>
          <w:szCs w:val="20"/>
        </w:rPr>
        <w:t xml:space="preserve"> (cited: 11/1</w:t>
      </w:r>
      <w:r>
        <w:rPr>
          <w:rFonts w:cs="Times New Roman"/>
          <w:szCs w:val="20"/>
        </w:rPr>
        <w:t>2</w:t>
      </w:r>
      <w:r w:rsidRPr="00B2688D">
        <w:rPr>
          <w:rFonts w:cs="Times New Roman"/>
          <w:szCs w:val="20"/>
        </w:rPr>
        <w:t>/2024).</w:t>
      </w:r>
    </w:p>
    <w:sectPr w:rsidR="007C47A1" w:rsidRPr="00536BA5" w:rsidSect="00BA7DDA">
      <w:head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F1D06" w14:textId="77777777" w:rsidR="00D87768" w:rsidRDefault="00D87768">
      <w:r>
        <w:separator/>
      </w:r>
    </w:p>
  </w:endnote>
  <w:endnote w:type="continuationSeparator" w:id="0">
    <w:p w14:paraId="38F2E094" w14:textId="77777777" w:rsidR="00D87768" w:rsidRDefault="00D87768">
      <w:r>
        <w:continuationSeparator/>
      </w:r>
    </w:p>
  </w:endnote>
  <w:endnote w:type="continuationNotice" w:id="1">
    <w:p w14:paraId="4C5620E2" w14:textId="77777777" w:rsidR="00D87768" w:rsidRDefault="00D877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1497CE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93343" w:rsidRPr="00A93343">
      <w:rPr>
        <w:rFonts w:cs="Arial"/>
        <w:noProof/>
        <w:sz w:val="16"/>
        <w:szCs w:val="16"/>
      </w:rPr>
      <w:t>Otrexup</w:t>
    </w:r>
    <w:r w:rsidR="00A93343">
      <w:rPr>
        <w:rFonts w:cs="Arial"/>
        <w:noProof/>
        <w:snapToGrid w:val="0"/>
        <w:color w:val="000000"/>
        <w:sz w:val="16"/>
        <w:szCs w:val="16"/>
      </w:rPr>
      <w:t xml:space="preserve"> SGM 2019-A</w:t>
    </w:r>
    <w:r w:rsidR="00A93343" w:rsidRPr="00A93343">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6109C4">
      <w:rPr>
        <w:rFonts w:cs="Arial"/>
        <w:snapToGrid w:val="0"/>
        <w:color w:val="000000"/>
        <w:sz w:val="16"/>
      </w:rPr>
      <w:t>5</w:t>
    </w:r>
    <w:r w:rsidRPr="00EC47B6">
      <w:rPr>
        <w:rFonts w:cs="Arial"/>
        <w:snapToGrid w:val="0"/>
        <w:color w:val="000000"/>
        <w:sz w:val="16"/>
      </w:rPr>
      <w:t xml:space="preserve"> CVS Caremark. All rights reserved.</w:t>
    </w:r>
  </w:p>
  <w:p w14:paraId="61CF5924" w14:textId="41F59DD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4B73CE6" w:rsidR="00F75C81" w:rsidRPr="00AA1E6A" w:rsidRDefault="00C36B72" w:rsidP="00A266F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68F80E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93343" w:rsidRPr="00A93343">
      <w:rPr>
        <w:rFonts w:cs="Arial"/>
        <w:noProof/>
        <w:sz w:val="16"/>
        <w:szCs w:val="16"/>
      </w:rPr>
      <w:t>Otrexup</w:t>
    </w:r>
    <w:r w:rsidR="00A93343">
      <w:rPr>
        <w:rFonts w:cs="Arial"/>
        <w:noProof/>
        <w:snapToGrid w:val="0"/>
        <w:color w:val="000000"/>
        <w:sz w:val="16"/>
        <w:szCs w:val="16"/>
      </w:rPr>
      <w:t xml:space="preserve"> SGM 2019-A</w:t>
    </w:r>
    <w:r w:rsidR="00A93343" w:rsidRPr="00A93343">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6109C4">
      <w:rPr>
        <w:rFonts w:cs="Arial"/>
        <w:snapToGrid w:val="0"/>
        <w:color w:val="000000"/>
        <w:sz w:val="16"/>
      </w:rPr>
      <w:t>5</w:t>
    </w:r>
    <w:r w:rsidRPr="00EC47B6">
      <w:rPr>
        <w:rFonts w:cs="Arial"/>
        <w:snapToGrid w:val="0"/>
        <w:color w:val="000000"/>
        <w:sz w:val="16"/>
      </w:rPr>
      <w:t xml:space="preserve"> CVS Caremark. All rights reserved.</w:t>
    </w:r>
  </w:p>
  <w:p w14:paraId="39BFE579" w14:textId="2CE7486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8BB04B3" w:rsidR="00ED04EC" w:rsidRPr="00F50D98" w:rsidRDefault="00F50D98" w:rsidP="00A266F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A47F5" w14:textId="77777777" w:rsidR="00D87768" w:rsidRDefault="00D87768">
      <w:r>
        <w:separator/>
      </w:r>
    </w:p>
  </w:footnote>
  <w:footnote w:type="continuationSeparator" w:id="0">
    <w:p w14:paraId="56B8F25A" w14:textId="77777777" w:rsidR="00D87768" w:rsidRDefault="00D87768">
      <w:r>
        <w:continuationSeparator/>
      </w:r>
    </w:p>
  </w:footnote>
  <w:footnote w:type="continuationNotice" w:id="1">
    <w:p w14:paraId="0F5EB687" w14:textId="77777777" w:rsidR="00D87768" w:rsidRDefault="00D877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155E0A">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26CA6D2C" w:rsidR="00ED04EC" w:rsidRPr="00F224AC" w:rsidRDefault="00F224AC" w:rsidP="00155E0A">
          <w:pPr>
            <w:pStyle w:val="RefTableData"/>
          </w:pPr>
          <w:r w:rsidRPr="00F224AC">
            <w:t>2019-A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55E0A" w:rsidRPr="00ED04EC" w14:paraId="528AE894" w14:textId="77777777" w:rsidTr="00F23343">
      <w:trPr>
        <w:trHeight w:val="144"/>
        <w:jc w:val="right"/>
      </w:trPr>
      <w:tc>
        <w:tcPr>
          <w:tcW w:w="1854" w:type="dxa"/>
          <w:hideMark/>
        </w:tcPr>
        <w:p w14:paraId="19905EA0" w14:textId="77777777" w:rsidR="00155E0A" w:rsidRPr="00AA1E6A" w:rsidRDefault="00155E0A" w:rsidP="00155E0A">
          <w:pPr>
            <w:pStyle w:val="RefTableData"/>
          </w:pPr>
          <w:r w:rsidRPr="00AA1E6A">
            <w:t>Reference number(s)</w:t>
          </w:r>
        </w:p>
      </w:tc>
    </w:tr>
    <w:tr w:rsidR="00155E0A" w:rsidRPr="00ED04EC" w14:paraId="21F7342D" w14:textId="77777777" w:rsidTr="00F23343">
      <w:trPr>
        <w:trHeight w:val="378"/>
        <w:jc w:val="right"/>
      </w:trPr>
      <w:tc>
        <w:tcPr>
          <w:tcW w:w="1854" w:type="dxa"/>
          <w:hideMark/>
        </w:tcPr>
        <w:p w14:paraId="36096868" w14:textId="77777777" w:rsidR="00155E0A" w:rsidRPr="00F224AC" w:rsidRDefault="00155E0A" w:rsidP="00155E0A">
          <w:pPr>
            <w:pStyle w:val="RefTableData"/>
          </w:pPr>
          <w:r w:rsidRPr="00F224AC">
            <w:t>2019-A</w:t>
          </w:r>
        </w:p>
      </w:tc>
    </w:tr>
  </w:tbl>
  <w:p w14:paraId="2ADDC74C" w14:textId="77777777" w:rsidR="00155E0A" w:rsidRPr="00155E0A" w:rsidRDefault="00155E0A">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FD4AB8"/>
    <w:multiLevelType w:val="multilevel"/>
    <w:tmpl w:val="4E36C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F07084"/>
    <w:multiLevelType w:val="multilevel"/>
    <w:tmpl w:val="762011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C356EEB"/>
    <w:multiLevelType w:val="multilevel"/>
    <w:tmpl w:val="FA80969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8A70603"/>
    <w:multiLevelType w:val="multilevel"/>
    <w:tmpl w:val="83F000E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C157B82"/>
    <w:multiLevelType w:val="hybridMultilevel"/>
    <w:tmpl w:val="04A4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3EF2DE3"/>
    <w:multiLevelType w:val="hybridMultilevel"/>
    <w:tmpl w:val="47560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EC01FE"/>
    <w:multiLevelType w:val="multilevel"/>
    <w:tmpl w:val="5C76AA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6E72E9C"/>
    <w:multiLevelType w:val="multilevel"/>
    <w:tmpl w:val="C49880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6F67128"/>
    <w:multiLevelType w:val="multilevel"/>
    <w:tmpl w:val="9DC2B61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111DD9"/>
    <w:multiLevelType w:val="multilevel"/>
    <w:tmpl w:val="78BE70A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216E62"/>
    <w:multiLevelType w:val="hybridMultilevel"/>
    <w:tmpl w:val="EF7AAF7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CD6770"/>
    <w:multiLevelType w:val="multilevel"/>
    <w:tmpl w:val="1714C7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452720C8"/>
    <w:multiLevelType w:val="multilevel"/>
    <w:tmpl w:val="9560FB4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F10E89"/>
    <w:multiLevelType w:val="multilevel"/>
    <w:tmpl w:val="AFF8712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4E961E94"/>
    <w:multiLevelType w:val="multilevel"/>
    <w:tmpl w:val="A89C02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590AA5"/>
    <w:multiLevelType w:val="multilevel"/>
    <w:tmpl w:val="04547A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8"/>
  </w:num>
  <w:num w:numId="3" w16cid:durableId="611589570">
    <w:abstractNumId w:val="3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0"/>
  </w:num>
  <w:num w:numId="16" w16cid:durableId="898320195">
    <w:abstractNumId w:val="26"/>
  </w:num>
  <w:num w:numId="17" w16cid:durableId="2128498676">
    <w:abstractNumId w:val="41"/>
  </w:num>
  <w:num w:numId="18" w16cid:durableId="299724409">
    <w:abstractNumId w:val="35"/>
  </w:num>
  <w:num w:numId="19" w16cid:durableId="214585573">
    <w:abstractNumId w:val="17"/>
  </w:num>
  <w:num w:numId="20" w16cid:durableId="1289816170">
    <w:abstractNumId w:val="19"/>
  </w:num>
  <w:num w:numId="21" w16cid:durableId="1066490929">
    <w:abstractNumId w:val="42"/>
  </w:num>
  <w:num w:numId="22" w16cid:durableId="1472481103">
    <w:abstractNumId w:val="37"/>
  </w:num>
  <w:num w:numId="23" w16cid:durableId="1997420403">
    <w:abstractNumId w:val="39"/>
  </w:num>
  <w:num w:numId="24" w16cid:durableId="33312838">
    <w:abstractNumId w:val="36"/>
  </w:num>
  <w:num w:numId="25" w16cid:durableId="507404939">
    <w:abstractNumId w:val="24"/>
  </w:num>
  <w:num w:numId="26" w16cid:durableId="1950313333">
    <w:abstractNumId w:val="31"/>
  </w:num>
  <w:num w:numId="27" w16cid:durableId="1866016584">
    <w:abstractNumId w:val="28"/>
  </w:num>
  <w:num w:numId="28" w16cid:durableId="194320064">
    <w:abstractNumId w:val="29"/>
  </w:num>
  <w:num w:numId="29" w16cid:durableId="1472140414">
    <w:abstractNumId w:val="13"/>
  </w:num>
  <w:num w:numId="30" w16cid:durableId="1172068695">
    <w:abstractNumId w:val="23"/>
  </w:num>
  <w:num w:numId="31" w16cid:durableId="1795518760">
    <w:abstractNumId w:val="16"/>
  </w:num>
  <w:num w:numId="32" w16cid:durableId="67192010">
    <w:abstractNumId w:val="30"/>
  </w:num>
  <w:num w:numId="33" w16cid:durableId="438986965">
    <w:abstractNumId w:val="32"/>
  </w:num>
  <w:num w:numId="34" w16cid:durableId="166557425">
    <w:abstractNumId w:val="11"/>
  </w:num>
  <w:num w:numId="35" w16cid:durableId="1424186366">
    <w:abstractNumId w:val="33"/>
  </w:num>
  <w:num w:numId="36" w16cid:durableId="409430239">
    <w:abstractNumId w:val="40"/>
  </w:num>
  <w:num w:numId="37" w16cid:durableId="252517691">
    <w:abstractNumId w:val="12"/>
  </w:num>
  <w:num w:numId="38" w16cid:durableId="1764181510">
    <w:abstractNumId w:val="22"/>
  </w:num>
  <w:num w:numId="39" w16cid:durableId="1039474537">
    <w:abstractNumId w:val="21"/>
  </w:num>
  <w:num w:numId="40" w16cid:durableId="442309912">
    <w:abstractNumId w:val="25"/>
  </w:num>
  <w:num w:numId="41" w16cid:durableId="1263227342">
    <w:abstractNumId w:val="18"/>
  </w:num>
  <w:num w:numId="42" w16cid:durableId="1310011932">
    <w:abstractNumId w:val="20"/>
  </w:num>
  <w:num w:numId="43" w16cid:durableId="1412115448">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027"/>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656"/>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23FA"/>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5E0A"/>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0739"/>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302C"/>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3D2"/>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A5E"/>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5923"/>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3D0C"/>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862"/>
    <w:rsid w:val="00494B52"/>
    <w:rsid w:val="00495919"/>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D7124"/>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299"/>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6BA5"/>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C"/>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77450"/>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459"/>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9C4"/>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4FFE"/>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59E"/>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1FB"/>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1D60"/>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2F5C"/>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7A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C99"/>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7F7FA4"/>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538"/>
    <w:rsid w:val="00892A08"/>
    <w:rsid w:val="008943CF"/>
    <w:rsid w:val="008945D6"/>
    <w:rsid w:val="00895C0F"/>
    <w:rsid w:val="00895FE5"/>
    <w:rsid w:val="00896FAB"/>
    <w:rsid w:val="008973E6"/>
    <w:rsid w:val="00897778"/>
    <w:rsid w:val="00897A39"/>
    <w:rsid w:val="00897BD4"/>
    <w:rsid w:val="00897C3B"/>
    <w:rsid w:val="008A08A4"/>
    <w:rsid w:val="008A15EC"/>
    <w:rsid w:val="008A1F2A"/>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3558"/>
    <w:rsid w:val="008F4B96"/>
    <w:rsid w:val="008F514C"/>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2F47"/>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166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66FE"/>
    <w:rsid w:val="00A278EB"/>
    <w:rsid w:val="00A30ABB"/>
    <w:rsid w:val="00A320D9"/>
    <w:rsid w:val="00A326BC"/>
    <w:rsid w:val="00A32801"/>
    <w:rsid w:val="00A32DF4"/>
    <w:rsid w:val="00A33510"/>
    <w:rsid w:val="00A33A01"/>
    <w:rsid w:val="00A33BC1"/>
    <w:rsid w:val="00A33C4B"/>
    <w:rsid w:val="00A33F92"/>
    <w:rsid w:val="00A342EB"/>
    <w:rsid w:val="00A358F0"/>
    <w:rsid w:val="00A35C5C"/>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343"/>
    <w:rsid w:val="00A93B35"/>
    <w:rsid w:val="00A94105"/>
    <w:rsid w:val="00A946C6"/>
    <w:rsid w:val="00A94A0D"/>
    <w:rsid w:val="00A9526B"/>
    <w:rsid w:val="00A96221"/>
    <w:rsid w:val="00A96256"/>
    <w:rsid w:val="00A96A09"/>
    <w:rsid w:val="00AA0497"/>
    <w:rsid w:val="00AA0955"/>
    <w:rsid w:val="00AA1E6A"/>
    <w:rsid w:val="00AA2744"/>
    <w:rsid w:val="00AA2A94"/>
    <w:rsid w:val="00AA3C75"/>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81A"/>
    <w:rsid w:val="00AB09BC"/>
    <w:rsid w:val="00AB12D9"/>
    <w:rsid w:val="00AB1987"/>
    <w:rsid w:val="00AB299D"/>
    <w:rsid w:val="00AB2BF1"/>
    <w:rsid w:val="00AB2C73"/>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C0B"/>
    <w:rsid w:val="00AE1ECB"/>
    <w:rsid w:val="00AE22E9"/>
    <w:rsid w:val="00AE2C21"/>
    <w:rsid w:val="00AE3026"/>
    <w:rsid w:val="00AE31CB"/>
    <w:rsid w:val="00AE460D"/>
    <w:rsid w:val="00AE484E"/>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0FCE"/>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88D"/>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41FA"/>
    <w:rsid w:val="00B461DF"/>
    <w:rsid w:val="00B4644D"/>
    <w:rsid w:val="00B465F0"/>
    <w:rsid w:val="00B46E48"/>
    <w:rsid w:val="00B47162"/>
    <w:rsid w:val="00B47A98"/>
    <w:rsid w:val="00B47CBA"/>
    <w:rsid w:val="00B50D1C"/>
    <w:rsid w:val="00B513CC"/>
    <w:rsid w:val="00B51564"/>
    <w:rsid w:val="00B51582"/>
    <w:rsid w:val="00B5186D"/>
    <w:rsid w:val="00B52926"/>
    <w:rsid w:val="00B52E01"/>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A7DDA"/>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5D2"/>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5BAB"/>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29"/>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098"/>
    <w:rsid w:val="00CB2D12"/>
    <w:rsid w:val="00CB2E36"/>
    <w:rsid w:val="00CB38E8"/>
    <w:rsid w:val="00CB3CAD"/>
    <w:rsid w:val="00CB4985"/>
    <w:rsid w:val="00CB5BAA"/>
    <w:rsid w:val="00CB63DB"/>
    <w:rsid w:val="00CB677D"/>
    <w:rsid w:val="00CB6D83"/>
    <w:rsid w:val="00CB6FF0"/>
    <w:rsid w:val="00CB7503"/>
    <w:rsid w:val="00CB7F0D"/>
    <w:rsid w:val="00CC0702"/>
    <w:rsid w:val="00CC0EC9"/>
    <w:rsid w:val="00CC1ACE"/>
    <w:rsid w:val="00CC1AD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C7A"/>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462"/>
    <w:rsid w:val="00D70C19"/>
    <w:rsid w:val="00D71176"/>
    <w:rsid w:val="00D71A48"/>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768"/>
    <w:rsid w:val="00D87F36"/>
    <w:rsid w:val="00D901FE"/>
    <w:rsid w:val="00D9125F"/>
    <w:rsid w:val="00D91451"/>
    <w:rsid w:val="00D9169B"/>
    <w:rsid w:val="00D91B68"/>
    <w:rsid w:val="00D91BC0"/>
    <w:rsid w:val="00D924F7"/>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431"/>
    <w:rsid w:val="00DE1C7E"/>
    <w:rsid w:val="00DE1E23"/>
    <w:rsid w:val="00DE219D"/>
    <w:rsid w:val="00DE23E7"/>
    <w:rsid w:val="00DE2E13"/>
    <w:rsid w:val="00DE3856"/>
    <w:rsid w:val="00DE415E"/>
    <w:rsid w:val="00DE5343"/>
    <w:rsid w:val="00DE5BEF"/>
    <w:rsid w:val="00DE5E9C"/>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414"/>
    <w:rsid w:val="00E165CF"/>
    <w:rsid w:val="00E166ED"/>
    <w:rsid w:val="00E1699F"/>
    <w:rsid w:val="00E20E34"/>
    <w:rsid w:val="00E212B1"/>
    <w:rsid w:val="00E21380"/>
    <w:rsid w:val="00E21D9B"/>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0B7B"/>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2C6"/>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505B"/>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4AC"/>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6806"/>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AB0"/>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A06"/>
    <w:rsid w:val="00FD0BBA"/>
    <w:rsid w:val="00FD0C22"/>
    <w:rsid w:val="00FD0C3B"/>
    <w:rsid w:val="00FD0EAA"/>
    <w:rsid w:val="00FD1068"/>
    <w:rsid w:val="00FD16D0"/>
    <w:rsid w:val="00FD1973"/>
    <w:rsid w:val="00FD1AFB"/>
    <w:rsid w:val="00FD1D8D"/>
    <w:rsid w:val="00FD26D2"/>
    <w:rsid w:val="00FD2879"/>
    <w:rsid w:val="00FD34F0"/>
    <w:rsid w:val="00FD3BCF"/>
    <w:rsid w:val="00FD3E65"/>
    <w:rsid w:val="00FD4E5D"/>
    <w:rsid w:val="00FD5067"/>
    <w:rsid w:val="00FD6A19"/>
    <w:rsid w:val="00FD75BC"/>
    <w:rsid w:val="00FD7AB8"/>
    <w:rsid w:val="00FE01AE"/>
    <w:rsid w:val="00FE057F"/>
    <w:rsid w:val="00FE06ED"/>
    <w:rsid w:val="00FE0C63"/>
    <w:rsid w:val="00FE0D7A"/>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12231703">
      <w:bodyDiv w:val="1"/>
      <w:marLeft w:val="0"/>
      <w:marRight w:val="0"/>
      <w:marTop w:val="0"/>
      <w:marBottom w:val="0"/>
      <w:divBdr>
        <w:top w:val="none" w:sz="0" w:space="0" w:color="auto"/>
        <w:left w:val="none" w:sz="0" w:space="0" w:color="auto"/>
        <w:bottom w:val="none" w:sz="0" w:space="0" w:color="auto"/>
        <w:right w:val="none" w:sz="0" w:space="0" w:color="auto"/>
      </w:divBdr>
      <w:divsChild>
        <w:div w:id="147015400">
          <w:marLeft w:val="0"/>
          <w:marRight w:val="0"/>
          <w:marTop w:val="0"/>
          <w:marBottom w:val="0"/>
          <w:divBdr>
            <w:top w:val="none" w:sz="0" w:space="0" w:color="auto"/>
            <w:left w:val="none" w:sz="0" w:space="0" w:color="auto"/>
            <w:bottom w:val="none" w:sz="0" w:space="0" w:color="auto"/>
            <w:right w:val="none" w:sz="0" w:space="0" w:color="auto"/>
          </w:divBdr>
        </w:div>
        <w:div w:id="1584024411">
          <w:marLeft w:val="0"/>
          <w:marRight w:val="0"/>
          <w:marTop w:val="0"/>
          <w:marBottom w:val="0"/>
          <w:divBdr>
            <w:top w:val="none" w:sz="0" w:space="0" w:color="auto"/>
            <w:left w:val="none" w:sz="0" w:space="0" w:color="auto"/>
            <w:bottom w:val="none" w:sz="0" w:space="0" w:color="auto"/>
            <w:right w:val="none" w:sz="0" w:space="0" w:color="auto"/>
          </w:divBdr>
        </w:div>
        <w:div w:id="1015034263">
          <w:marLeft w:val="0"/>
          <w:marRight w:val="0"/>
          <w:marTop w:val="0"/>
          <w:marBottom w:val="0"/>
          <w:divBdr>
            <w:top w:val="none" w:sz="0" w:space="0" w:color="auto"/>
            <w:left w:val="none" w:sz="0" w:space="0" w:color="auto"/>
            <w:bottom w:val="none" w:sz="0" w:space="0" w:color="auto"/>
            <w:right w:val="none" w:sz="0" w:space="0" w:color="auto"/>
          </w:divBdr>
        </w:div>
        <w:div w:id="127404334">
          <w:marLeft w:val="0"/>
          <w:marRight w:val="0"/>
          <w:marTop w:val="0"/>
          <w:marBottom w:val="0"/>
          <w:divBdr>
            <w:top w:val="none" w:sz="0" w:space="0" w:color="auto"/>
            <w:left w:val="none" w:sz="0" w:space="0" w:color="auto"/>
            <w:bottom w:val="none" w:sz="0" w:space="0" w:color="auto"/>
            <w:right w:val="none" w:sz="0" w:space="0" w:color="auto"/>
          </w:divBdr>
        </w:div>
        <w:div w:id="617298443">
          <w:marLeft w:val="0"/>
          <w:marRight w:val="0"/>
          <w:marTop w:val="0"/>
          <w:marBottom w:val="0"/>
          <w:divBdr>
            <w:top w:val="none" w:sz="0" w:space="0" w:color="auto"/>
            <w:left w:val="none" w:sz="0" w:space="0" w:color="auto"/>
            <w:bottom w:val="none" w:sz="0" w:space="0" w:color="auto"/>
            <w:right w:val="none" w:sz="0" w:space="0" w:color="auto"/>
          </w:divBdr>
        </w:div>
        <w:div w:id="1636332037">
          <w:marLeft w:val="0"/>
          <w:marRight w:val="0"/>
          <w:marTop w:val="0"/>
          <w:marBottom w:val="0"/>
          <w:divBdr>
            <w:top w:val="none" w:sz="0" w:space="0" w:color="auto"/>
            <w:left w:val="none" w:sz="0" w:space="0" w:color="auto"/>
            <w:bottom w:val="none" w:sz="0" w:space="0" w:color="auto"/>
            <w:right w:val="none" w:sz="0" w:space="0" w:color="auto"/>
          </w:divBdr>
        </w:div>
        <w:div w:id="1446535343">
          <w:marLeft w:val="0"/>
          <w:marRight w:val="0"/>
          <w:marTop w:val="0"/>
          <w:marBottom w:val="0"/>
          <w:divBdr>
            <w:top w:val="none" w:sz="0" w:space="0" w:color="auto"/>
            <w:left w:val="none" w:sz="0" w:space="0" w:color="auto"/>
            <w:bottom w:val="none" w:sz="0" w:space="0" w:color="auto"/>
            <w:right w:val="none" w:sz="0" w:space="0" w:color="auto"/>
          </w:divBdr>
        </w:div>
        <w:div w:id="1062758177">
          <w:marLeft w:val="0"/>
          <w:marRight w:val="0"/>
          <w:marTop w:val="0"/>
          <w:marBottom w:val="0"/>
          <w:divBdr>
            <w:top w:val="none" w:sz="0" w:space="0" w:color="auto"/>
            <w:left w:val="none" w:sz="0" w:space="0" w:color="auto"/>
            <w:bottom w:val="none" w:sz="0" w:space="0" w:color="auto"/>
            <w:right w:val="none" w:sz="0" w:space="0" w:color="auto"/>
          </w:divBdr>
        </w:div>
      </w:divsChild>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56876595">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470463">
      <w:bodyDiv w:val="1"/>
      <w:marLeft w:val="0"/>
      <w:marRight w:val="0"/>
      <w:marTop w:val="0"/>
      <w:marBottom w:val="0"/>
      <w:divBdr>
        <w:top w:val="none" w:sz="0" w:space="0" w:color="auto"/>
        <w:left w:val="none" w:sz="0" w:space="0" w:color="auto"/>
        <w:bottom w:val="none" w:sz="0" w:space="0" w:color="auto"/>
        <w:right w:val="none" w:sz="0" w:space="0" w:color="auto"/>
      </w:divBdr>
      <w:divsChild>
        <w:div w:id="36316045">
          <w:marLeft w:val="0"/>
          <w:marRight w:val="0"/>
          <w:marTop w:val="0"/>
          <w:marBottom w:val="0"/>
          <w:divBdr>
            <w:top w:val="none" w:sz="0" w:space="0" w:color="auto"/>
            <w:left w:val="none" w:sz="0" w:space="0" w:color="auto"/>
            <w:bottom w:val="none" w:sz="0" w:space="0" w:color="auto"/>
            <w:right w:val="none" w:sz="0" w:space="0" w:color="auto"/>
          </w:divBdr>
        </w:div>
        <w:div w:id="1873686331">
          <w:marLeft w:val="0"/>
          <w:marRight w:val="0"/>
          <w:marTop w:val="0"/>
          <w:marBottom w:val="0"/>
          <w:divBdr>
            <w:top w:val="none" w:sz="0" w:space="0" w:color="auto"/>
            <w:left w:val="none" w:sz="0" w:space="0" w:color="auto"/>
            <w:bottom w:val="none" w:sz="0" w:space="0" w:color="auto"/>
            <w:right w:val="none" w:sz="0" w:space="0" w:color="auto"/>
          </w:divBdr>
        </w:div>
        <w:div w:id="1244413273">
          <w:marLeft w:val="0"/>
          <w:marRight w:val="0"/>
          <w:marTop w:val="0"/>
          <w:marBottom w:val="0"/>
          <w:divBdr>
            <w:top w:val="none" w:sz="0" w:space="0" w:color="auto"/>
            <w:left w:val="none" w:sz="0" w:space="0" w:color="auto"/>
            <w:bottom w:val="none" w:sz="0" w:space="0" w:color="auto"/>
            <w:right w:val="none" w:sz="0" w:space="0" w:color="auto"/>
          </w:divBdr>
        </w:div>
        <w:div w:id="115954689">
          <w:marLeft w:val="0"/>
          <w:marRight w:val="0"/>
          <w:marTop w:val="0"/>
          <w:marBottom w:val="0"/>
          <w:divBdr>
            <w:top w:val="none" w:sz="0" w:space="0" w:color="auto"/>
            <w:left w:val="none" w:sz="0" w:space="0" w:color="auto"/>
            <w:bottom w:val="none" w:sz="0" w:space="0" w:color="auto"/>
            <w:right w:val="none" w:sz="0" w:space="0" w:color="auto"/>
          </w:divBdr>
        </w:div>
        <w:div w:id="1161894672">
          <w:marLeft w:val="0"/>
          <w:marRight w:val="0"/>
          <w:marTop w:val="0"/>
          <w:marBottom w:val="0"/>
          <w:divBdr>
            <w:top w:val="none" w:sz="0" w:space="0" w:color="auto"/>
            <w:left w:val="none" w:sz="0" w:space="0" w:color="auto"/>
            <w:bottom w:val="none" w:sz="0" w:space="0" w:color="auto"/>
            <w:right w:val="none" w:sz="0" w:space="0" w:color="auto"/>
          </w:divBdr>
        </w:div>
        <w:div w:id="1118572808">
          <w:marLeft w:val="0"/>
          <w:marRight w:val="0"/>
          <w:marTop w:val="0"/>
          <w:marBottom w:val="0"/>
          <w:divBdr>
            <w:top w:val="none" w:sz="0" w:space="0" w:color="auto"/>
            <w:left w:val="none" w:sz="0" w:space="0" w:color="auto"/>
            <w:bottom w:val="none" w:sz="0" w:space="0" w:color="auto"/>
            <w:right w:val="none" w:sz="0" w:space="0" w:color="auto"/>
          </w:divBdr>
        </w:div>
        <w:div w:id="1510832094">
          <w:marLeft w:val="0"/>
          <w:marRight w:val="0"/>
          <w:marTop w:val="0"/>
          <w:marBottom w:val="0"/>
          <w:divBdr>
            <w:top w:val="none" w:sz="0" w:space="0" w:color="auto"/>
            <w:left w:val="none" w:sz="0" w:space="0" w:color="auto"/>
            <w:bottom w:val="none" w:sz="0" w:space="0" w:color="auto"/>
            <w:right w:val="none" w:sz="0" w:space="0" w:color="auto"/>
          </w:divBdr>
        </w:div>
        <w:div w:id="1010110323">
          <w:marLeft w:val="0"/>
          <w:marRight w:val="0"/>
          <w:marTop w:val="0"/>
          <w:marBottom w:val="0"/>
          <w:divBdr>
            <w:top w:val="none" w:sz="0" w:space="0" w:color="auto"/>
            <w:left w:val="none" w:sz="0" w:space="0" w:color="auto"/>
            <w:bottom w:val="none" w:sz="0" w:space="0" w:color="auto"/>
            <w:right w:val="none" w:sz="0" w:space="0" w:color="auto"/>
          </w:divBdr>
        </w:div>
      </w:divsChild>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29174352">
      <w:bodyDiv w:val="1"/>
      <w:marLeft w:val="0"/>
      <w:marRight w:val="0"/>
      <w:marTop w:val="0"/>
      <w:marBottom w:val="0"/>
      <w:divBdr>
        <w:top w:val="none" w:sz="0" w:space="0" w:color="auto"/>
        <w:left w:val="none" w:sz="0" w:space="0" w:color="auto"/>
        <w:bottom w:val="none" w:sz="0" w:space="0" w:color="auto"/>
        <w:right w:val="none" w:sz="0" w:space="0" w:color="auto"/>
      </w:divBdr>
      <w:divsChild>
        <w:div w:id="900288841">
          <w:marLeft w:val="0"/>
          <w:marRight w:val="0"/>
          <w:marTop w:val="0"/>
          <w:marBottom w:val="0"/>
          <w:divBdr>
            <w:top w:val="none" w:sz="0" w:space="0" w:color="auto"/>
            <w:left w:val="none" w:sz="0" w:space="0" w:color="auto"/>
            <w:bottom w:val="none" w:sz="0" w:space="0" w:color="auto"/>
            <w:right w:val="none" w:sz="0" w:space="0" w:color="auto"/>
          </w:divBdr>
        </w:div>
        <w:div w:id="1931768978">
          <w:marLeft w:val="0"/>
          <w:marRight w:val="0"/>
          <w:marTop w:val="0"/>
          <w:marBottom w:val="0"/>
          <w:divBdr>
            <w:top w:val="none" w:sz="0" w:space="0" w:color="auto"/>
            <w:left w:val="none" w:sz="0" w:space="0" w:color="auto"/>
            <w:bottom w:val="none" w:sz="0" w:space="0" w:color="auto"/>
            <w:right w:val="none" w:sz="0" w:space="0" w:color="auto"/>
          </w:divBdr>
        </w:div>
      </w:divsChild>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91698850">
      <w:bodyDiv w:val="1"/>
      <w:marLeft w:val="0"/>
      <w:marRight w:val="0"/>
      <w:marTop w:val="0"/>
      <w:marBottom w:val="0"/>
      <w:divBdr>
        <w:top w:val="none" w:sz="0" w:space="0" w:color="auto"/>
        <w:left w:val="none" w:sz="0" w:space="0" w:color="auto"/>
        <w:bottom w:val="none" w:sz="0" w:space="0" w:color="auto"/>
        <w:right w:val="none" w:sz="0" w:space="0" w:color="auto"/>
      </w:divBdr>
      <w:divsChild>
        <w:div w:id="1551264826">
          <w:marLeft w:val="0"/>
          <w:marRight w:val="0"/>
          <w:marTop w:val="0"/>
          <w:marBottom w:val="0"/>
          <w:divBdr>
            <w:top w:val="none" w:sz="0" w:space="0" w:color="auto"/>
            <w:left w:val="none" w:sz="0" w:space="0" w:color="auto"/>
            <w:bottom w:val="none" w:sz="0" w:space="0" w:color="auto"/>
            <w:right w:val="none" w:sz="0" w:space="0" w:color="auto"/>
          </w:divBdr>
        </w:div>
        <w:div w:id="177696937">
          <w:marLeft w:val="0"/>
          <w:marRight w:val="0"/>
          <w:marTop w:val="0"/>
          <w:marBottom w:val="0"/>
          <w:divBdr>
            <w:top w:val="none" w:sz="0" w:space="0" w:color="auto"/>
            <w:left w:val="none" w:sz="0" w:space="0" w:color="auto"/>
            <w:bottom w:val="none" w:sz="0" w:space="0" w:color="auto"/>
            <w:right w:val="none" w:sz="0" w:space="0" w:color="auto"/>
          </w:divBdr>
        </w:div>
        <w:div w:id="1251810736">
          <w:marLeft w:val="0"/>
          <w:marRight w:val="0"/>
          <w:marTop w:val="0"/>
          <w:marBottom w:val="0"/>
          <w:divBdr>
            <w:top w:val="none" w:sz="0" w:space="0" w:color="auto"/>
            <w:left w:val="none" w:sz="0" w:space="0" w:color="auto"/>
            <w:bottom w:val="none" w:sz="0" w:space="0" w:color="auto"/>
            <w:right w:val="none" w:sz="0" w:space="0" w:color="auto"/>
          </w:divBdr>
        </w:div>
        <w:div w:id="1034623483">
          <w:marLeft w:val="0"/>
          <w:marRight w:val="0"/>
          <w:marTop w:val="0"/>
          <w:marBottom w:val="0"/>
          <w:divBdr>
            <w:top w:val="none" w:sz="0" w:space="0" w:color="auto"/>
            <w:left w:val="none" w:sz="0" w:space="0" w:color="auto"/>
            <w:bottom w:val="none" w:sz="0" w:space="0" w:color="auto"/>
            <w:right w:val="none" w:sz="0" w:space="0" w:color="auto"/>
          </w:divBdr>
        </w:div>
      </w:divsChild>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38732912">
      <w:bodyDiv w:val="1"/>
      <w:marLeft w:val="0"/>
      <w:marRight w:val="0"/>
      <w:marTop w:val="0"/>
      <w:marBottom w:val="0"/>
      <w:divBdr>
        <w:top w:val="none" w:sz="0" w:space="0" w:color="auto"/>
        <w:left w:val="none" w:sz="0" w:space="0" w:color="auto"/>
        <w:bottom w:val="none" w:sz="0" w:space="0" w:color="auto"/>
        <w:right w:val="none" w:sz="0" w:space="0" w:color="auto"/>
      </w:divBdr>
      <w:divsChild>
        <w:div w:id="982269873">
          <w:marLeft w:val="0"/>
          <w:marRight w:val="0"/>
          <w:marTop w:val="0"/>
          <w:marBottom w:val="0"/>
          <w:divBdr>
            <w:top w:val="none" w:sz="0" w:space="0" w:color="auto"/>
            <w:left w:val="none" w:sz="0" w:space="0" w:color="auto"/>
            <w:bottom w:val="none" w:sz="0" w:space="0" w:color="auto"/>
            <w:right w:val="none" w:sz="0" w:space="0" w:color="auto"/>
          </w:divBdr>
        </w:div>
        <w:div w:id="2068144350">
          <w:marLeft w:val="0"/>
          <w:marRight w:val="0"/>
          <w:marTop w:val="0"/>
          <w:marBottom w:val="0"/>
          <w:divBdr>
            <w:top w:val="none" w:sz="0" w:space="0" w:color="auto"/>
            <w:left w:val="none" w:sz="0" w:space="0" w:color="auto"/>
            <w:bottom w:val="none" w:sz="0" w:space="0" w:color="auto"/>
            <w:right w:val="none" w:sz="0" w:space="0" w:color="auto"/>
          </w:divBdr>
        </w:div>
        <w:div w:id="945620804">
          <w:marLeft w:val="0"/>
          <w:marRight w:val="0"/>
          <w:marTop w:val="0"/>
          <w:marBottom w:val="0"/>
          <w:divBdr>
            <w:top w:val="none" w:sz="0" w:space="0" w:color="auto"/>
            <w:left w:val="none" w:sz="0" w:space="0" w:color="auto"/>
            <w:bottom w:val="none" w:sz="0" w:space="0" w:color="auto"/>
            <w:right w:val="none" w:sz="0" w:space="0" w:color="auto"/>
          </w:divBdr>
        </w:div>
        <w:div w:id="904026665">
          <w:marLeft w:val="0"/>
          <w:marRight w:val="0"/>
          <w:marTop w:val="0"/>
          <w:marBottom w:val="0"/>
          <w:divBdr>
            <w:top w:val="none" w:sz="0" w:space="0" w:color="auto"/>
            <w:left w:val="none" w:sz="0" w:space="0" w:color="auto"/>
            <w:bottom w:val="none" w:sz="0" w:space="0" w:color="auto"/>
            <w:right w:val="none" w:sz="0" w:space="0" w:color="auto"/>
          </w:divBdr>
        </w:div>
        <w:div w:id="1862352192">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11332587">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6913247">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41248722">
      <w:bodyDiv w:val="1"/>
      <w:marLeft w:val="0"/>
      <w:marRight w:val="0"/>
      <w:marTop w:val="0"/>
      <w:marBottom w:val="0"/>
      <w:divBdr>
        <w:top w:val="none" w:sz="0" w:space="0" w:color="auto"/>
        <w:left w:val="none" w:sz="0" w:space="0" w:color="auto"/>
        <w:bottom w:val="none" w:sz="0" w:space="0" w:color="auto"/>
        <w:right w:val="none" w:sz="0" w:space="0" w:color="auto"/>
      </w:divBdr>
      <w:divsChild>
        <w:div w:id="1000422992">
          <w:marLeft w:val="0"/>
          <w:marRight w:val="0"/>
          <w:marTop w:val="0"/>
          <w:marBottom w:val="0"/>
          <w:divBdr>
            <w:top w:val="none" w:sz="0" w:space="0" w:color="auto"/>
            <w:left w:val="none" w:sz="0" w:space="0" w:color="auto"/>
            <w:bottom w:val="none" w:sz="0" w:space="0" w:color="auto"/>
            <w:right w:val="none" w:sz="0" w:space="0" w:color="auto"/>
          </w:divBdr>
        </w:div>
        <w:div w:id="477647834">
          <w:marLeft w:val="0"/>
          <w:marRight w:val="0"/>
          <w:marTop w:val="0"/>
          <w:marBottom w:val="0"/>
          <w:divBdr>
            <w:top w:val="none" w:sz="0" w:space="0" w:color="auto"/>
            <w:left w:val="none" w:sz="0" w:space="0" w:color="auto"/>
            <w:bottom w:val="none" w:sz="0" w:space="0" w:color="auto"/>
            <w:right w:val="none" w:sz="0" w:space="0" w:color="auto"/>
          </w:divBdr>
        </w:div>
      </w:divsChild>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76040058">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27107533">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86343313">
      <w:bodyDiv w:val="1"/>
      <w:marLeft w:val="0"/>
      <w:marRight w:val="0"/>
      <w:marTop w:val="0"/>
      <w:marBottom w:val="0"/>
      <w:divBdr>
        <w:top w:val="none" w:sz="0" w:space="0" w:color="auto"/>
        <w:left w:val="none" w:sz="0" w:space="0" w:color="auto"/>
        <w:bottom w:val="none" w:sz="0" w:space="0" w:color="auto"/>
        <w:right w:val="none" w:sz="0" w:space="0" w:color="auto"/>
      </w:divBdr>
      <w:divsChild>
        <w:div w:id="1450975711">
          <w:marLeft w:val="0"/>
          <w:marRight w:val="0"/>
          <w:marTop w:val="0"/>
          <w:marBottom w:val="0"/>
          <w:divBdr>
            <w:top w:val="none" w:sz="0" w:space="0" w:color="auto"/>
            <w:left w:val="none" w:sz="0" w:space="0" w:color="auto"/>
            <w:bottom w:val="none" w:sz="0" w:space="0" w:color="auto"/>
            <w:right w:val="none" w:sz="0" w:space="0" w:color="auto"/>
          </w:divBdr>
        </w:div>
        <w:div w:id="1954365329">
          <w:marLeft w:val="0"/>
          <w:marRight w:val="0"/>
          <w:marTop w:val="0"/>
          <w:marBottom w:val="0"/>
          <w:divBdr>
            <w:top w:val="none" w:sz="0" w:space="0" w:color="auto"/>
            <w:left w:val="none" w:sz="0" w:space="0" w:color="auto"/>
            <w:bottom w:val="none" w:sz="0" w:space="0" w:color="auto"/>
            <w:right w:val="none" w:sz="0" w:space="0" w:color="auto"/>
          </w:divBdr>
        </w:div>
        <w:div w:id="1075399912">
          <w:marLeft w:val="0"/>
          <w:marRight w:val="0"/>
          <w:marTop w:val="0"/>
          <w:marBottom w:val="0"/>
          <w:divBdr>
            <w:top w:val="none" w:sz="0" w:space="0" w:color="auto"/>
            <w:left w:val="none" w:sz="0" w:space="0" w:color="auto"/>
            <w:bottom w:val="none" w:sz="0" w:space="0" w:color="auto"/>
            <w:right w:val="none" w:sz="0" w:space="0" w:color="auto"/>
          </w:divBdr>
        </w:div>
        <w:div w:id="1988897829">
          <w:marLeft w:val="0"/>
          <w:marRight w:val="0"/>
          <w:marTop w:val="0"/>
          <w:marBottom w:val="0"/>
          <w:divBdr>
            <w:top w:val="none" w:sz="0" w:space="0" w:color="auto"/>
            <w:left w:val="none" w:sz="0" w:space="0" w:color="auto"/>
            <w:bottom w:val="none" w:sz="0" w:space="0" w:color="auto"/>
            <w:right w:val="none" w:sz="0" w:space="0" w:color="auto"/>
          </w:divBdr>
        </w:div>
        <w:div w:id="370883715">
          <w:marLeft w:val="0"/>
          <w:marRight w:val="0"/>
          <w:marTop w:val="0"/>
          <w:marBottom w:val="0"/>
          <w:divBdr>
            <w:top w:val="none" w:sz="0" w:space="0" w:color="auto"/>
            <w:left w:val="none" w:sz="0" w:space="0" w:color="auto"/>
            <w:bottom w:val="none" w:sz="0" w:space="0" w:color="auto"/>
            <w:right w:val="none" w:sz="0" w:space="0" w:color="auto"/>
          </w:divBdr>
        </w:div>
      </w:divsChild>
    </w:div>
    <w:div w:id="2087148162">
      <w:bodyDiv w:val="1"/>
      <w:marLeft w:val="0"/>
      <w:marRight w:val="0"/>
      <w:marTop w:val="0"/>
      <w:marBottom w:val="0"/>
      <w:divBdr>
        <w:top w:val="none" w:sz="0" w:space="0" w:color="auto"/>
        <w:left w:val="none" w:sz="0" w:space="0" w:color="auto"/>
        <w:bottom w:val="none" w:sz="0" w:space="0" w:color="auto"/>
        <w:right w:val="none" w:sz="0" w:space="0" w:color="auto"/>
      </w:divBdr>
      <w:divsChild>
        <w:div w:id="1030297248">
          <w:marLeft w:val="0"/>
          <w:marRight w:val="0"/>
          <w:marTop w:val="0"/>
          <w:marBottom w:val="0"/>
          <w:divBdr>
            <w:top w:val="none" w:sz="0" w:space="0" w:color="auto"/>
            <w:left w:val="none" w:sz="0" w:space="0" w:color="auto"/>
            <w:bottom w:val="none" w:sz="0" w:space="0" w:color="auto"/>
            <w:right w:val="none" w:sz="0" w:space="0" w:color="auto"/>
          </w:divBdr>
        </w:div>
        <w:div w:id="2002004225">
          <w:marLeft w:val="0"/>
          <w:marRight w:val="0"/>
          <w:marTop w:val="0"/>
          <w:marBottom w:val="0"/>
          <w:divBdr>
            <w:top w:val="none" w:sz="0" w:space="0" w:color="auto"/>
            <w:left w:val="none" w:sz="0" w:space="0" w:color="auto"/>
            <w:bottom w:val="none" w:sz="0" w:space="0" w:color="auto"/>
            <w:right w:val="none" w:sz="0" w:space="0" w:color="auto"/>
          </w:divBdr>
        </w:div>
        <w:div w:id="847670567">
          <w:marLeft w:val="0"/>
          <w:marRight w:val="0"/>
          <w:marTop w:val="0"/>
          <w:marBottom w:val="0"/>
          <w:divBdr>
            <w:top w:val="none" w:sz="0" w:space="0" w:color="auto"/>
            <w:left w:val="none" w:sz="0" w:space="0" w:color="auto"/>
            <w:bottom w:val="none" w:sz="0" w:space="0" w:color="auto"/>
            <w:right w:val="none" w:sz="0" w:space="0" w:color="auto"/>
          </w:divBdr>
        </w:div>
        <w:div w:id="1770269409">
          <w:marLeft w:val="0"/>
          <w:marRight w:val="0"/>
          <w:marTop w:val="0"/>
          <w:marBottom w:val="0"/>
          <w:divBdr>
            <w:top w:val="none" w:sz="0" w:space="0" w:color="auto"/>
            <w:left w:val="none" w:sz="0" w:space="0" w:color="auto"/>
            <w:bottom w:val="none" w:sz="0" w:space="0" w:color="auto"/>
            <w:right w:val="none" w:sz="0" w:space="0" w:color="auto"/>
          </w:divBdr>
        </w:div>
      </w:divsChild>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ncbi.nlm.nih.gov/pubmed/26545940"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102fadf2-6cae-45bc-95f6-bc2613b98572"/>
    <ds:schemaRef ds:uri="http://purl.org/dc/terms/"/>
    <ds:schemaRef ds:uri="ce173f13-e3a2-4c5f-8c54-d0382ae88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57A37995-4629-4AEC-A223-C5E868D4100B}"/>
</file>

<file path=docProps/app.xml><?xml version="1.0" encoding="utf-8"?>
<Properties xmlns="http://schemas.openxmlformats.org/officeDocument/2006/extended-properties" xmlns:vt="http://schemas.openxmlformats.org/officeDocument/2006/docPropsVTypes">
  <Template>Normal.dotm</Template>
  <TotalTime>2</TotalTime>
  <Pages>3</Pages>
  <Words>535</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Otrexup 2019-A SGM 2024</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Otrexup SGM 2019-A</dc:title>
  <dc:subject>Otrexup SGM 2019-A</dc:subject>
  <dc:creator>CVS Caremark</dc:creator>
  <cp:keywords/>
  <cp:lastModifiedBy>Ortiz, Erica M</cp:lastModifiedBy>
  <cp:revision>4</cp:revision>
  <cp:lastPrinted>2018-01-09T05:01:00Z</cp:lastPrinted>
  <dcterms:created xsi:type="dcterms:W3CDTF">2025-03-07T22:01:00Z</dcterms:created>
  <dcterms:modified xsi:type="dcterms:W3CDTF">2025-03-07T22:03:00Z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1162000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